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7A" w:rsidRDefault="00A5267A" w:rsidP="00A5267A">
      <w:pPr>
        <w:jc w:val="right"/>
      </w:pPr>
    </w:p>
    <w:p w:rsidR="00A5267A" w:rsidRPr="00DB61D4" w:rsidRDefault="0062768E" w:rsidP="00C649E7">
      <w:pPr>
        <w:spacing w:after="0"/>
        <w:jc w:val="right"/>
        <w:rPr>
          <w:rFonts w:cstheme="minorHAnsi"/>
          <w:sz w:val="24"/>
        </w:rPr>
      </w:pPr>
      <w:r>
        <w:rPr>
          <w:rFonts w:cstheme="minorHAnsi"/>
          <w:sz w:val="24"/>
        </w:rPr>
        <w:t>Ciudad Victoria Tamaulipas, a 27</w:t>
      </w:r>
      <w:r w:rsidR="00C649E7" w:rsidRPr="00DB61D4">
        <w:rPr>
          <w:rFonts w:cstheme="minorHAnsi"/>
          <w:sz w:val="24"/>
        </w:rPr>
        <w:t xml:space="preserve"> de </w:t>
      </w:r>
      <w:r w:rsidR="008111A6">
        <w:rPr>
          <w:rFonts w:cstheme="minorHAnsi"/>
          <w:sz w:val="24"/>
        </w:rPr>
        <w:t>enero de 2023</w:t>
      </w:r>
      <w:r w:rsidR="00A5267A" w:rsidRPr="00DB61D4">
        <w:rPr>
          <w:rFonts w:cstheme="minorHAnsi"/>
          <w:sz w:val="24"/>
        </w:rPr>
        <w:t>.</w:t>
      </w:r>
    </w:p>
    <w:p w:rsidR="001C3208" w:rsidRDefault="001C3208" w:rsidP="00C649E7">
      <w:pPr>
        <w:spacing w:after="0"/>
        <w:rPr>
          <w:rFonts w:cstheme="minorHAnsi"/>
          <w:b/>
          <w:sz w:val="24"/>
        </w:rPr>
      </w:pPr>
    </w:p>
    <w:p w:rsidR="00BD325D" w:rsidRPr="00DB61D4" w:rsidRDefault="00197181" w:rsidP="00C649E7">
      <w:pPr>
        <w:spacing w:after="0"/>
        <w:rPr>
          <w:rFonts w:cstheme="minorHAnsi"/>
          <w:b/>
          <w:sz w:val="24"/>
        </w:rPr>
      </w:pPr>
      <w:r>
        <w:rPr>
          <w:rFonts w:cstheme="minorHAnsi"/>
          <w:b/>
          <w:sz w:val="24"/>
        </w:rPr>
        <w:t>Esteban Rodríguez.</w:t>
      </w:r>
    </w:p>
    <w:p w:rsidR="00A5267A" w:rsidRPr="00DB61D4" w:rsidRDefault="00A5267A" w:rsidP="00C649E7">
      <w:pPr>
        <w:spacing w:after="0"/>
        <w:rPr>
          <w:rFonts w:cstheme="minorHAnsi"/>
          <w:sz w:val="24"/>
        </w:rPr>
      </w:pPr>
      <w:r w:rsidRPr="00DB61D4">
        <w:rPr>
          <w:rFonts w:cstheme="minorHAnsi"/>
          <w:sz w:val="24"/>
        </w:rPr>
        <w:t>P r e s e n t e:</w:t>
      </w:r>
    </w:p>
    <w:p w:rsidR="00C649E7" w:rsidRPr="00DB61D4" w:rsidRDefault="00C649E7" w:rsidP="00C649E7">
      <w:pPr>
        <w:spacing w:after="0"/>
        <w:rPr>
          <w:rFonts w:cstheme="minorHAnsi"/>
          <w:sz w:val="24"/>
        </w:rPr>
      </w:pPr>
    </w:p>
    <w:p w:rsidR="001C3208" w:rsidRPr="00DB61D4" w:rsidRDefault="00A5267A" w:rsidP="00F0597B">
      <w:pPr>
        <w:ind w:firstLine="708"/>
        <w:jc w:val="both"/>
        <w:rPr>
          <w:rFonts w:cstheme="minorHAnsi"/>
          <w:sz w:val="24"/>
        </w:rPr>
      </w:pPr>
      <w:r w:rsidRPr="00DB61D4">
        <w:rPr>
          <w:rFonts w:cstheme="minorHAnsi"/>
          <w:sz w:val="24"/>
        </w:rPr>
        <w:t xml:space="preserve">Derivado de su solicitud información pública recibida en la Plataforma Nacional de Transparencia el </w:t>
      </w:r>
      <w:r w:rsidR="00197181">
        <w:rPr>
          <w:rFonts w:cstheme="minorHAnsi"/>
          <w:sz w:val="24"/>
        </w:rPr>
        <w:t>día 11</w:t>
      </w:r>
      <w:r w:rsidR="008111A6">
        <w:rPr>
          <w:rFonts w:cstheme="minorHAnsi"/>
          <w:sz w:val="24"/>
        </w:rPr>
        <w:t xml:space="preserve"> de </w:t>
      </w:r>
      <w:r w:rsidR="00980405">
        <w:rPr>
          <w:rFonts w:cstheme="minorHAnsi"/>
          <w:sz w:val="24"/>
        </w:rPr>
        <w:t>enero</w:t>
      </w:r>
      <w:r w:rsidR="008A3B1D">
        <w:rPr>
          <w:rFonts w:cstheme="minorHAnsi"/>
          <w:sz w:val="24"/>
        </w:rPr>
        <w:t xml:space="preserve"> del 2023</w:t>
      </w:r>
      <w:r w:rsidRPr="00DB61D4">
        <w:rPr>
          <w:rFonts w:cstheme="minorHAnsi"/>
          <w:sz w:val="24"/>
        </w:rPr>
        <w:t>, co</w:t>
      </w:r>
      <w:r w:rsidR="008A3B1D">
        <w:rPr>
          <w:rFonts w:cstheme="minorHAnsi"/>
          <w:sz w:val="24"/>
        </w:rPr>
        <w:t>n número de folio 281196423</w:t>
      </w:r>
      <w:r w:rsidR="00C649E7" w:rsidRPr="00DB61D4">
        <w:rPr>
          <w:rFonts w:cstheme="minorHAnsi"/>
          <w:sz w:val="24"/>
        </w:rPr>
        <w:t>0</w:t>
      </w:r>
      <w:r w:rsidR="00561952" w:rsidRPr="00DB61D4">
        <w:rPr>
          <w:rFonts w:cstheme="minorHAnsi"/>
          <w:sz w:val="24"/>
        </w:rPr>
        <w:t>0</w:t>
      </w:r>
      <w:r w:rsidR="00197181">
        <w:rPr>
          <w:rFonts w:cstheme="minorHAnsi"/>
          <w:sz w:val="24"/>
        </w:rPr>
        <w:t>0014</w:t>
      </w:r>
      <w:r w:rsidRPr="00DB61D4">
        <w:rPr>
          <w:rFonts w:cstheme="minorHAnsi"/>
          <w:sz w:val="24"/>
        </w:rPr>
        <w:t>, mediante la cual requiere lo siguiente:</w:t>
      </w:r>
    </w:p>
    <w:p w:rsidR="00197181" w:rsidRPr="00197181" w:rsidRDefault="00F92C69" w:rsidP="008F1EC8">
      <w:pPr>
        <w:ind w:left="993" w:right="1041"/>
        <w:jc w:val="both"/>
        <w:rPr>
          <w:rFonts w:cstheme="minorHAnsi"/>
          <w:i/>
          <w:sz w:val="24"/>
        </w:rPr>
      </w:pPr>
      <w:r w:rsidRPr="00DB61D4">
        <w:rPr>
          <w:rFonts w:cstheme="minorHAnsi"/>
          <w:i/>
          <w:sz w:val="24"/>
        </w:rPr>
        <w:t>“</w:t>
      </w:r>
      <w:r w:rsidR="00197181" w:rsidRPr="00197181">
        <w:rPr>
          <w:rFonts w:cstheme="minorHAnsi"/>
          <w:i/>
          <w:sz w:val="24"/>
        </w:rPr>
        <w:t>Haciendo valer el derecho de acceso a la información plasmado en la Ley de Transparencia y Acceso a la Información Federal y de Tamaulipas, acudo a este sujeto obliga</w:t>
      </w:r>
      <w:r w:rsidR="008F1EC8">
        <w:rPr>
          <w:rFonts w:cstheme="minorHAnsi"/>
          <w:i/>
          <w:sz w:val="24"/>
        </w:rPr>
        <w:t>do para solicitar lo siguiente:</w:t>
      </w:r>
    </w:p>
    <w:p w:rsidR="00197181" w:rsidRPr="00197181" w:rsidRDefault="00197181" w:rsidP="008F1EC8">
      <w:pPr>
        <w:ind w:left="993" w:right="1041"/>
        <w:jc w:val="both"/>
        <w:rPr>
          <w:rFonts w:cstheme="minorHAnsi"/>
          <w:i/>
          <w:sz w:val="24"/>
        </w:rPr>
      </w:pPr>
      <w:r w:rsidRPr="00197181">
        <w:rPr>
          <w:rFonts w:cstheme="minorHAnsi"/>
          <w:i/>
          <w:sz w:val="24"/>
        </w:rPr>
        <w:t>A través de una solicitud</w:t>
      </w:r>
      <w:bookmarkStart w:id="0" w:name="_GoBack"/>
      <w:bookmarkEnd w:id="0"/>
      <w:r w:rsidRPr="00197181">
        <w:rPr>
          <w:rFonts w:cstheme="minorHAnsi"/>
          <w:i/>
          <w:sz w:val="24"/>
        </w:rPr>
        <w:t xml:space="preserve"> de información, la Secretaría de Hacienda y Crédito Público (SHCP), informó que celebró dos convenios con el Gobierno del Estado de Tamaulipas, para la transferencia de subsidios por $1,490,225.93 pesos, y $36,714,615.04, los cuales fueron ministrados el 22 de agosto y el 25 de noviembre del 2022, correspondiente a los "Lineamientos para el ejercicio de los recursos destinados a acciones de pavimentación en los municipios que correspondan, derivados de los aprovechamientos que se generen con motivo de la regularización de vehículos usa</w:t>
      </w:r>
      <w:r w:rsidR="008F1EC8">
        <w:rPr>
          <w:rFonts w:cstheme="minorHAnsi"/>
          <w:i/>
          <w:sz w:val="24"/>
        </w:rPr>
        <w:t>dos de procedencia extranjera".</w:t>
      </w:r>
    </w:p>
    <w:p w:rsidR="00197181" w:rsidRPr="00197181" w:rsidRDefault="00197181" w:rsidP="008F1EC8">
      <w:pPr>
        <w:ind w:left="993" w:right="1041"/>
        <w:jc w:val="both"/>
        <w:rPr>
          <w:rFonts w:cstheme="minorHAnsi"/>
          <w:i/>
          <w:sz w:val="24"/>
        </w:rPr>
      </w:pPr>
      <w:r w:rsidRPr="00197181">
        <w:rPr>
          <w:rFonts w:cstheme="minorHAnsi"/>
          <w:i/>
          <w:sz w:val="24"/>
        </w:rPr>
        <w:t>En ese tenor, solicito se comparta la información pública sobre el uso que se le dará a ese recurso millonario en cada uno de los municipios beneficiados con el subsidio, en el entendido que cada Municipio deberán enviar sus proyectos ya que el dinero será utilizado para obras de pavimentación en cada una de las ciudades donde se realizó la regularización de unid</w:t>
      </w:r>
      <w:r w:rsidR="008F1EC8">
        <w:rPr>
          <w:rFonts w:cstheme="minorHAnsi"/>
          <w:i/>
          <w:sz w:val="24"/>
        </w:rPr>
        <w:t>ades de procedencia extranjera.</w:t>
      </w:r>
    </w:p>
    <w:p w:rsidR="00197181" w:rsidRPr="00197181" w:rsidRDefault="00197181" w:rsidP="008F1EC8">
      <w:pPr>
        <w:ind w:left="993" w:right="1041"/>
        <w:jc w:val="both"/>
        <w:rPr>
          <w:rFonts w:cstheme="minorHAnsi"/>
          <w:i/>
          <w:sz w:val="24"/>
        </w:rPr>
      </w:pPr>
      <w:r w:rsidRPr="00197181">
        <w:rPr>
          <w:rFonts w:cstheme="minorHAnsi"/>
          <w:i/>
          <w:sz w:val="24"/>
        </w:rPr>
        <w:t xml:space="preserve">Lo anterior en concordancia con el </w:t>
      </w:r>
      <w:proofErr w:type="spellStart"/>
      <w:r w:rsidRPr="00197181">
        <w:rPr>
          <w:rFonts w:cstheme="minorHAnsi"/>
          <w:i/>
          <w:sz w:val="24"/>
        </w:rPr>
        <w:t>Capitulo</w:t>
      </w:r>
      <w:proofErr w:type="spellEnd"/>
      <w:r w:rsidRPr="00197181">
        <w:rPr>
          <w:rFonts w:cstheme="minorHAnsi"/>
          <w:i/>
          <w:sz w:val="24"/>
        </w:rPr>
        <w:t xml:space="preserve"> IV denominado "Del otorgamiento, aplicación y control de los Subsidios", que ex</w:t>
      </w:r>
      <w:r w:rsidR="008F1EC8">
        <w:rPr>
          <w:rFonts w:cstheme="minorHAnsi"/>
          <w:i/>
          <w:sz w:val="24"/>
        </w:rPr>
        <w:t>presamente señala lo siguiente:</w:t>
      </w:r>
    </w:p>
    <w:p w:rsidR="008F1EC8" w:rsidRDefault="00197181" w:rsidP="008F1EC8">
      <w:pPr>
        <w:ind w:left="993" w:right="1041"/>
        <w:jc w:val="both"/>
        <w:rPr>
          <w:rFonts w:cstheme="minorHAnsi"/>
          <w:i/>
          <w:sz w:val="24"/>
        </w:rPr>
      </w:pPr>
      <w:r w:rsidRPr="00197181">
        <w:rPr>
          <w:rFonts w:cstheme="minorHAnsi"/>
          <w:i/>
          <w:sz w:val="24"/>
        </w:rPr>
        <w:t xml:space="preserve">"a) La UPCP comunicará por oficio a las Entidades Federativas los montos que correspondan a cada Municipio, conforme a la información que a más tardar el 20 de enero de 2023 remita el Servicio de Administración Tributaria, respecto de la distribución de los montos </w:t>
      </w:r>
    </w:p>
    <w:p w:rsidR="008F1EC8" w:rsidRDefault="008F1EC8" w:rsidP="008F1EC8">
      <w:pPr>
        <w:ind w:left="993" w:right="1041"/>
        <w:jc w:val="both"/>
        <w:rPr>
          <w:rFonts w:cstheme="minorHAnsi"/>
          <w:i/>
          <w:sz w:val="24"/>
        </w:rPr>
      </w:pPr>
    </w:p>
    <w:p w:rsidR="008F1EC8" w:rsidRDefault="008F1EC8" w:rsidP="008F1EC8">
      <w:pPr>
        <w:ind w:left="993" w:right="1041"/>
        <w:jc w:val="both"/>
        <w:rPr>
          <w:rFonts w:cstheme="minorHAnsi"/>
          <w:i/>
          <w:sz w:val="24"/>
        </w:rPr>
      </w:pPr>
    </w:p>
    <w:p w:rsidR="008F1EC8" w:rsidRDefault="008F1EC8" w:rsidP="008F1EC8">
      <w:pPr>
        <w:ind w:left="993" w:right="1041"/>
        <w:jc w:val="both"/>
        <w:rPr>
          <w:rFonts w:cstheme="minorHAnsi"/>
          <w:i/>
          <w:sz w:val="24"/>
        </w:rPr>
      </w:pPr>
    </w:p>
    <w:p w:rsidR="008F1EC8" w:rsidRDefault="008F1EC8" w:rsidP="008F1EC8">
      <w:pPr>
        <w:ind w:left="993" w:right="1041"/>
        <w:jc w:val="both"/>
        <w:rPr>
          <w:rFonts w:cstheme="minorHAnsi"/>
          <w:i/>
          <w:sz w:val="24"/>
        </w:rPr>
      </w:pPr>
    </w:p>
    <w:p w:rsidR="00197181" w:rsidRPr="00197181" w:rsidRDefault="00197181" w:rsidP="008F1EC8">
      <w:pPr>
        <w:ind w:left="993" w:right="1041"/>
        <w:jc w:val="both"/>
        <w:rPr>
          <w:rFonts w:cstheme="minorHAnsi"/>
          <w:i/>
          <w:sz w:val="24"/>
        </w:rPr>
      </w:pPr>
      <w:proofErr w:type="gramStart"/>
      <w:r w:rsidRPr="00197181">
        <w:rPr>
          <w:rFonts w:cstheme="minorHAnsi"/>
          <w:i/>
          <w:sz w:val="24"/>
        </w:rPr>
        <w:t>por</w:t>
      </w:r>
      <w:proofErr w:type="gramEnd"/>
      <w:r w:rsidRPr="00197181">
        <w:rPr>
          <w:rFonts w:cstheme="minorHAnsi"/>
          <w:i/>
          <w:sz w:val="24"/>
        </w:rPr>
        <w:t xml:space="preserve"> Municipio y Entidad Federativa; a la validación de la notificación de los ingresos excedentes con destino específico que emita la Unidad de Política de Ingresos no Tributarios de la SHCP, y a los registros de los recursos presupuestarios y registros contables del Ramo General 23 Provisiones Salariales y Económicas del Presupuesto de Egresos de la Federación para el E</w:t>
      </w:r>
      <w:r>
        <w:rPr>
          <w:rFonts w:cstheme="minorHAnsi"/>
          <w:i/>
          <w:sz w:val="24"/>
        </w:rPr>
        <w:t>jercicio Fiscal 2022;</w:t>
      </w:r>
    </w:p>
    <w:p w:rsidR="00197181" w:rsidRPr="00197181" w:rsidRDefault="00197181" w:rsidP="00197181">
      <w:pPr>
        <w:ind w:left="993" w:right="1041"/>
        <w:jc w:val="both"/>
        <w:rPr>
          <w:rFonts w:cstheme="minorHAnsi"/>
          <w:i/>
          <w:sz w:val="24"/>
        </w:rPr>
      </w:pPr>
      <w:r w:rsidRPr="00197181">
        <w:rPr>
          <w:rFonts w:cstheme="minorHAnsi"/>
          <w:i/>
          <w:sz w:val="24"/>
        </w:rPr>
        <w:t>b) Dentro del plazo establecido en la comunicación de los montos a que se refiere el inciso anterior, los Municipios, por conducto de la Entidad Federativa que corresponda, deberán presentar ante la UPCP, mediante oficio debidamente firmado por el o los servidores públicos facultados para tal efecto, la solicitud de recursos, adjuntando la cartera con los Proyectos de pavimentación que se realizarán con cargo a los Subsidios que les corresponda a cada Municipio, indicando el monto total solicitado por cada uno de esos proyectos y los calendar</w:t>
      </w:r>
      <w:r>
        <w:rPr>
          <w:rFonts w:cstheme="minorHAnsi"/>
          <w:i/>
          <w:sz w:val="24"/>
        </w:rPr>
        <w:t>ios de ejecución respectivos, y</w:t>
      </w:r>
    </w:p>
    <w:p w:rsidR="00197181" w:rsidRPr="00197181" w:rsidRDefault="00197181" w:rsidP="00197181">
      <w:pPr>
        <w:ind w:left="993" w:right="1041"/>
        <w:jc w:val="both"/>
        <w:rPr>
          <w:rFonts w:cstheme="minorHAnsi"/>
          <w:i/>
          <w:sz w:val="24"/>
        </w:rPr>
      </w:pPr>
      <w:r w:rsidRPr="00197181">
        <w:rPr>
          <w:rFonts w:cstheme="minorHAnsi"/>
          <w:i/>
          <w:sz w:val="24"/>
        </w:rPr>
        <w:t xml:space="preserve">c) Conforme a los Proyectos de pavimentación que cumplan con los Lineamientos, la Entidad Federativa deberá celebrar con la UPCP, a más tardar en el primer bimestre de 2023, según corresponda, el convenio o los convenios para la transferencia de los Subsidios, en donde se deberán señalar el o los Municipios beneficiarios, los Proyectos de pavimentación, los montos de los mismos, así como los calendarios de ejecución </w:t>
      </w:r>
      <w:r>
        <w:rPr>
          <w:rFonts w:cstheme="minorHAnsi"/>
          <w:i/>
          <w:sz w:val="24"/>
        </w:rPr>
        <w:t>respectivos.</w:t>
      </w:r>
    </w:p>
    <w:p w:rsidR="00197181" w:rsidRPr="00197181" w:rsidRDefault="00197181" w:rsidP="00197181">
      <w:pPr>
        <w:ind w:left="993" w:right="1041"/>
        <w:jc w:val="both"/>
        <w:rPr>
          <w:rFonts w:cstheme="minorHAnsi"/>
          <w:i/>
          <w:sz w:val="24"/>
        </w:rPr>
      </w:pPr>
      <w:r w:rsidRPr="00197181">
        <w:rPr>
          <w:rFonts w:cstheme="minorHAnsi"/>
          <w:i/>
          <w:sz w:val="24"/>
        </w:rPr>
        <w:t>Los calendarios de ejecución que se establezcan en los convenios a que se refiere el párrafo anterior deberán considerar plazos que permitan a los Municipios comprometer, devengar y pagar los Subsidios a más tardar el 31 de diciembre de 2023"</w:t>
      </w:r>
      <w:r>
        <w:rPr>
          <w:rFonts w:cstheme="minorHAnsi"/>
          <w:i/>
          <w:sz w:val="24"/>
        </w:rPr>
        <w:t>,</w:t>
      </w:r>
    </w:p>
    <w:p w:rsidR="001C3208" w:rsidRDefault="00197181" w:rsidP="00197181">
      <w:pPr>
        <w:ind w:left="993" w:right="1041"/>
        <w:jc w:val="both"/>
        <w:rPr>
          <w:rFonts w:cstheme="minorHAnsi"/>
          <w:i/>
          <w:sz w:val="24"/>
        </w:rPr>
      </w:pPr>
      <w:r w:rsidRPr="00197181">
        <w:rPr>
          <w:rFonts w:cstheme="minorHAnsi"/>
          <w:i/>
          <w:sz w:val="24"/>
        </w:rPr>
        <w:t>Sin más por el momento, le envío un cordial saludo, agradeciendo las atenciones que se le brinden a la misma. Solicito que la información se responda a través de la PNT y no se me dirija a ningún link del sujeto obligado</w:t>
      </w:r>
      <w:proofErr w:type="gramStart"/>
      <w:r w:rsidRPr="00197181">
        <w:rPr>
          <w:rFonts w:cstheme="minorHAnsi"/>
          <w:i/>
          <w:sz w:val="24"/>
        </w:rPr>
        <w:t>.</w:t>
      </w:r>
      <w:r w:rsidR="00B61996" w:rsidRPr="00B61996">
        <w:rPr>
          <w:rFonts w:cstheme="minorHAnsi"/>
          <w:i/>
          <w:sz w:val="24"/>
        </w:rPr>
        <w:t>.</w:t>
      </w:r>
      <w:r w:rsidR="00286A44" w:rsidRPr="00DB61D4">
        <w:rPr>
          <w:rFonts w:cstheme="minorHAnsi"/>
          <w:i/>
          <w:sz w:val="24"/>
        </w:rPr>
        <w:t>”</w:t>
      </w:r>
      <w:proofErr w:type="gramEnd"/>
    </w:p>
    <w:p w:rsidR="008F1EC8" w:rsidRDefault="008F1EC8" w:rsidP="00197181">
      <w:pPr>
        <w:ind w:left="993" w:right="1041"/>
        <w:jc w:val="both"/>
        <w:rPr>
          <w:rFonts w:cstheme="minorHAnsi"/>
          <w:i/>
          <w:sz w:val="24"/>
        </w:rPr>
      </w:pPr>
    </w:p>
    <w:p w:rsidR="008F1EC8" w:rsidRDefault="008F1EC8" w:rsidP="00197181">
      <w:pPr>
        <w:ind w:left="993" w:right="1041"/>
        <w:jc w:val="both"/>
        <w:rPr>
          <w:rFonts w:cstheme="minorHAnsi"/>
          <w:i/>
          <w:sz w:val="24"/>
        </w:rPr>
      </w:pPr>
    </w:p>
    <w:p w:rsidR="008F1EC8" w:rsidRDefault="008F1EC8" w:rsidP="00197181">
      <w:pPr>
        <w:ind w:left="993" w:right="1041"/>
        <w:jc w:val="both"/>
        <w:rPr>
          <w:rFonts w:cstheme="minorHAnsi"/>
          <w:i/>
          <w:sz w:val="24"/>
        </w:rPr>
      </w:pPr>
    </w:p>
    <w:p w:rsidR="008F1EC8" w:rsidRDefault="008F1EC8" w:rsidP="00197181">
      <w:pPr>
        <w:ind w:left="993" w:right="1041"/>
        <w:jc w:val="both"/>
        <w:rPr>
          <w:rFonts w:cstheme="minorHAnsi"/>
          <w:i/>
          <w:sz w:val="24"/>
        </w:rPr>
      </w:pPr>
    </w:p>
    <w:p w:rsidR="008F1EC8" w:rsidRDefault="008F1EC8" w:rsidP="00197181">
      <w:pPr>
        <w:ind w:left="993" w:right="1041"/>
        <w:jc w:val="both"/>
        <w:rPr>
          <w:rFonts w:cstheme="minorHAnsi"/>
          <w:i/>
          <w:sz w:val="24"/>
        </w:rPr>
      </w:pPr>
    </w:p>
    <w:p w:rsidR="008F1EC8" w:rsidRDefault="008F1EC8" w:rsidP="00197181">
      <w:pPr>
        <w:ind w:left="993" w:right="1041"/>
        <w:jc w:val="both"/>
        <w:rPr>
          <w:rFonts w:cstheme="minorHAnsi"/>
          <w:i/>
          <w:sz w:val="24"/>
        </w:rPr>
      </w:pPr>
    </w:p>
    <w:p w:rsidR="008F1EC8" w:rsidRPr="00DB61D4" w:rsidRDefault="008F1EC8" w:rsidP="00197181">
      <w:pPr>
        <w:ind w:left="993" w:right="1041"/>
        <w:jc w:val="both"/>
        <w:rPr>
          <w:rFonts w:cstheme="minorHAnsi"/>
          <w:i/>
          <w:sz w:val="24"/>
        </w:rPr>
      </w:pPr>
    </w:p>
    <w:p w:rsidR="003D36BC" w:rsidRPr="00DB61D4" w:rsidRDefault="003D36BC" w:rsidP="003D36BC">
      <w:pPr>
        <w:ind w:firstLine="708"/>
        <w:jc w:val="both"/>
        <w:rPr>
          <w:rFonts w:cstheme="minorHAnsi"/>
          <w:sz w:val="24"/>
        </w:rPr>
      </w:pPr>
      <w:r w:rsidRPr="00DB61D4">
        <w:rPr>
          <w:rFonts w:cstheme="minorHAnsi"/>
          <w:sz w:val="24"/>
        </w:rPr>
        <w:t>Al respecto se le informa</w:t>
      </w:r>
      <w:r>
        <w:rPr>
          <w:rFonts w:cstheme="minorHAnsi"/>
          <w:sz w:val="24"/>
        </w:rPr>
        <w:t>, que</w:t>
      </w:r>
      <w:r w:rsidRPr="00DB61D4">
        <w:rPr>
          <w:rFonts w:cstheme="minorHAnsi"/>
          <w:sz w:val="24"/>
        </w:rPr>
        <w:t xml:space="preserve"> </w:t>
      </w:r>
      <w:r>
        <w:rPr>
          <w:rFonts w:cstheme="minorHAnsi"/>
          <w:sz w:val="24"/>
        </w:rPr>
        <w:t>d</w:t>
      </w:r>
      <w:r w:rsidRPr="00DB61D4">
        <w:rPr>
          <w:rFonts w:cstheme="minorHAnsi"/>
          <w:sz w:val="24"/>
        </w:rPr>
        <w:t>e con</w:t>
      </w:r>
      <w:r w:rsidR="00055D39">
        <w:rPr>
          <w:rFonts w:cstheme="minorHAnsi"/>
          <w:sz w:val="24"/>
        </w:rPr>
        <w:t>formidad con los</w:t>
      </w:r>
      <w:r>
        <w:rPr>
          <w:rFonts w:cstheme="minorHAnsi"/>
          <w:sz w:val="24"/>
        </w:rPr>
        <w:t xml:space="preserve"> Artículos 26</w:t>
      </w:r>
      <w:r w:rsidR="008F1EC8">
        <w:rPr>
          <w:rFonts w:cstheme="minorHAnsi"/>
          <w:sz w:val="24"/>
        </w:rPr>
        <w:t xml:space="preserve"> y 37</w:t>
      </w:r>
      <w:r w:rsidR="00055D39">
        <w:rPr>
          <w:rFonts w:cstheme="minorHAnsi"/>
          <w:sz w:val="24"/>
        </w:rPr>
        <w:t>,</w:t>
      </w:r>
      <w:r>
        <w:rPr>
          <w:rFonts w:cstheme="minorHAnsi"/>
          <w:sz w:val="24"/>
        </w:rPr>
        <w:t xml:space="preserve"> </w:t>
      </w:r>
      <w:r w:rsidRPr="00DB61D4">
        <w:rPr>
          <w:rFonts w:cstheme="minorHAnsi"/>
          <w:sz w:val="24"/>
        </w:rPr>
        <w:t xml:space="preserve">de la Ley Orgánica de la Administración Pública del Estado de Tamaulipas, dicha solicitud de información pública, </w:t>
      </w:r>
      <w:r w:rsidRPr="00DB61D4">
        <w:rPr>
          <w:rFonts w:cstheme="minorHAnsi"/>
          <w:b/>
          <w:sz w:val="24"/>
          <w:u w:val="single"/>
        </w:rPr>
        <w:t>no es competencia de la Secretaría de Finanzas del Gobierno del Estado de Tamaulipas</w:t>
      </w:r>
      <w:r w:rsidRPr="00DB61D4">
        <w:rPr>
          <w:rFonts w:cstheme="minorHAnsi"/>
          <w:sz w:val="24"/>
        </w:rPr>
        <w:t>.</w:t>
      </w:r>
    </w:p>
    <w:p w:rsidR="00C456FB" w:rsidRPr="00DB61D4" w:rsidRDefault="00C456FB" w:rsidP="00DB61D4">
      <w:pPr>
        <w:ind w:firstLine="708"/>
        <w:jc w:val="both"/>
        <w:rPr>
          <w:rFonts w:cstheme="minorHAnsi"/>
          <w:sz w:val="24"/>
        </w:rPr>
      </w:pPr>
      <w:r w:rsidRPr="00DB61D4">
        <w:rPr>
          <w:rFonts w:cstheme="minorHAnsi"/>
          <w:sz w:val="24"/>
        </w:rPr>
        <w:t xml:space="preserve">Finalmente, se le manifiesta que la participación de los ciudadanos en el derecho de acceso a la información, contribuye al fortalecimiento del sistema de transparencia de la sociedad con los sujetos obligados; se le reitera que esta Unidad de Transparencia de la Secretaria de Finanzas se encuentra a sus órdenes. </w:t>
      </w:r>
    </w:p>
    <w:p w:rsidR="008A5AD2" w:rsidRDefault="00236655" w:rsidP="00DD531E">
      <w:pPr>
        <w:ind w:firstLine="708"/>
        <w:jc w:val="both"/>
        <w:rPr>
          <w:rFonts w:cstheme="minorHAnsi"/>
          <w:sz w:val="24"/>
        </w:rPr>
      </w:pPr>
      <w:r w:rsidRPr="00DB61D4">
        <w:rPr>
          <w:rFonts w:cstheme="minorHAnsi"/>
          <w:sz w:val="24"/>
        </w:rPr>
        <w:t>Sin otro particular,</w:t>
      </w:r>
      <w:r w:rsidR="00745E07">
        <w:rPr>
          <w:rFonts w:cstheme="minorHAnsi"/>
          <w:sz w:val="24"/>
        </w:rPr>
        <w:t xml:space="preserve"> se le envía un</w:t>
      </w:r>
      <w:r w:rsidRPr="00DB61D4">
        <w:rPr>
          <w:rFonts w:cstheme="minorHAnsi"/>
          <w:sz w:val="24"/>
        </w:rPr>
        <w:t xml:space="preserve"> cordial saludo.</w:t>
      </w:r>
    </w:p>
    <w:p w:rsidR="00DD531E" w:rsidRPr="00DB61D4" w:rsidRDefault="00DD531E" w:rsidP="00DD531E">
      <w:pPr>
        <w:ind w:firstLine="708"/>
        <w:jc w:val="both"/>
        <w:rPr>
          <w:rFonts w:cstheme="minorHAnsi"/>
          <w:sz w:val="24"/>
        </w:rPr>
      </w:pPr>
    </w:p>
    <w:p w:rsidR="00EF766C" w:rsidRPr="00DB61D4" w:rsidRDefault="00A5267A" w:rsidP="00DD531E">
      <w:pPr>
        <w:jc w:val="center"/>
        <w:rPr>
          <w:rFonts w:cstheme="minorHAnsi"/>
          <w:sz w:val="24"/>
        </w:rPr>
      </w:pPr>
      <w:r w:rsidRPr="00DB61D4">
        <w:rPr>
          <w:rFonts w:cstheme="minorHAnsi"/>
          <w:sz w:val="24"/>
        </w:rPr>
        <w:t>Atentamente.</w:t>
      </w:r>
    </w:p>
    <w:p w:rsidR="00C456FB" w:rsidRPr="00DB61D4" w:rsidRDefault="00C456FB" w:rsidP="00C456FB">
      <w:pPr>
        <w:spacing w:after="0"/>
        <w:jc w:val="center"/>
        <w:rPr>
          <w:rFonts w:cstheme="minorHAnsi"/>
          <w:sz w:val="24"/>
        </w:rPr>
      </w:pPr>
      <w:r w:rsidRPr="00DB61D4">
        <w:rPr>
          <w:rFonts w:cstheme="minorHAnsi"/>
          <w:sz w:val="24"/>
        </w:rPr>
        <w:t xml:space="preserve">Unidad de Transparencia y de Acceso a la Información </w:t>
      </w:r>
    </w:p>
    <w:p w:rsidR="00C456FB" w:rsidRPr="00DB61D4" w:rsidRDefault="00C456FB" w:rsidP="00C456FB">
      <w:pPr>
        <w:spacing w:after="0"/>
        <w:jc w:val="center"/>
        <w:rPr>
          <w:rFonts w:cstheme="minorHAnsi"/>
          <w:sz w:val="24"/>
        </w:rPr>
      </w:pPr>
      <w:r w:rsidRPr="00DB61D4">
        <w:rPr>
          <w:rFonts w:cstheme="minorHAnsi"/>
          <w:sz w:val="24"/>
        </w:rPr>
        <w:t>Publica de la Secretaría de Finanzas.</w:t>
      </w:r>
    </w:p>
    <w:p w:rsidR="00C456FB" w:rsidRDefault="00C456FB" w:rsidP="00C456FB">
      <w:pPr>
        <w:spacing w:after="0"/>
        <w:jc w:val="center"/>
      </w:pPr>
    </w:p>
    <w:p w:rsidR="004B3EB2" w:rsidRPr="00BE51A3" w:rsidRDefault="004B3EB2" w:rsidP="00C456FB">
      <w:pPr>
        <w:spacing w:after="0"/>
        <w:jc w:val="center"/>
        <w:rPr>
          <w:rFonts w:ascii="Arial" w:hAnsi="Arial" w:cs="Arial"/>
          <w:sz w:val="24"/>
        </w:rPr>
      </w:pPr>
    </w:p>
    <w:sectPr w:rsidR="004B3EB2" w:rsidRPr="00BE51A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9A" w:rsidRDefault="00BD499A" w:rsidP="00A5267A">
      <w:pPr>
        <w:spacing w:after="0" w:line="240" w:lineRule="auto"/>
      </w:pPr>
      <w:r>
        <w:separator/>
      </w:r>
    </w:p>
  </w:endnote>
  <w:endnote w:type="continuationSeparator" w:id="0">
    <w:p w:rsidR="00BD499A" w:rsidRDefault="00BD499A" w:rsidP="00A5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Times New Roman"/>
    <w:charset w:val="00"/>
    <w:family w:val="auto"/>
    <w:pitch w:val="variable"/>
    <w:sig w:usb0="00000001"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67A" w:rsidRDefault="00745E07">
    <w:pPr>
      <w:pStyle w:val="Piedepgina"/>
    </w:pPr>
    <w:r>
      <w:rPr>
        <w:noProof/>
        <w:lang w:eastAsia="es-MX"/>
      </w:rPr>
      <mc:AlternateContent>
        <mc:Choice Requires="wps">
          <w:drawing>
            <wp:anchor distT="0" distB="0" distL="114300" distR="114300" simplePos="0" relativeHeight="251663360" behindDoc="0" locked="0" layoutInCell="1" allowOverlap="1" wp14:anchorId="6516310E" wp14:editId="1F64D030">
              <wp:simplePos x="0" y="0"/>
              <wp:positionH relativeFrom="margin">
                <wp:align>left</wp:align>
              </wp:positionH>
              <wp:positionV relativeFrom="paragraph">
                <wp:posOffset>-295275</wp:posOffset>
              </wp:positionV>
              <wp:extent cx="2525917" cy="4762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525917" cy="476250"/>
                      </a:xfrm>
                      <a:prstGeom prst="rect">
                        <a:avLst/>
                      </a:prstGeom>
                      <a:noFill/>
                      <a:ln w="6350">
                        <a:noFill/>
                      </a:ln>
                    </wps:spPr>
                    <wps:txbx>
                      <w:txbxContent>
                        <w:p w:rsidR="00745E07" w:rsidRPr="00C227C2" w:rsidRDefault="00745E07" w:rsidP="00745E07">
                          <w:pPr>
                            <w:spacing w:after="0"/>
                            <w:rPr>
                              <w:rFonts w:ascii="Encode Sans" w:hAnsi="Encode Sans"/>
                              <w:sz w:val="16"/>
                              <w:szCs w:val="16"/>
                            </w:rPr>
                          </w:pPr>
                          <w:r>
                            <w:rPr>
                              <w:rFonts w:ascii="Encode Sans" w:hAnsi="Encode Sans"/>
                              <w:sz w:val="16"/>
                              <w:szCs w:val="16"/>
                            </w:rPr>
                            <w:t>15 Y 16 Juárez, s/n, Zona Centro, 87000</w:t>
                          </w:r>
                          <w:r w:rsidRPr="00C227C2">
                            <w:rPr>
                              <w:rFonts w:ascii="Encode Sans" w:hAnsi="Encode Sans"/>
                              <w:sz w:val="16"/>
                              <w:szCs w:val="16"/>
                            </w:rPr>
                            <w:t xml:space="preserve">  </w:t>
                          </w:r>
                        </w:p>
                        <w:p w:rsidR="00745E07" w:rsidRPr="00C227C2" w:rsidRDefault="00745E07" w:rsidP="00745E07">
                          <w:pPr>
                            <w:spacing w:after="0"/>
                            <w:rPr>
                              <w:rFonts w:ascii="Encode Sans" w:hAnsi="Encode Sans"/>
                              <w:sz w:val="16"/>
                              <w:szCs w:val="16"/>
                            </w:rPr>
                          </w:pPr>
                          <w:r>
                            <w:rPr>
                              <w:rFonts w:ascii="Encode Sans" w:hAnsi="Encode Sans"/>
                              <w:sz w:val="16"/>
                              <w:szCs w:val="16"/>
                            </w:rPr>
                            <w:t>Cd. Victoria, Tamaulipas</w:t>
                          </w:r>
                        </w:p>
                        <w:p w:rsidR="00745E07" w:rsidRPr="008D3C77" w:rsidRDefault="00745E07" w:rsidP="00745E07">
                          <w:pPr>
                            <w:spacing w:after="0"/>
                            <w:rPr>
                              <w:rFonts w:ascii="Encode Sans" w:hAnsi="Encode Sans"/>
                              <w:sz w:val="16"/>
                              <w:szCs w:val="16"/>
                            </w:rPr>
                          </w:pPr>
                          <w:r w:rsidRPr="008D3C77">
                            <w:rPr>
                              <w:rFonts w:ascii="Encode Sans" w:hAnsi="Encode Sans"/>
                              <w:sz w:val="16"/>
                              <w:szCs w:val="16"/>
                            </w:rPr>
                            <w:t xml:space="preserve">Tel: (834) 318 82 11 Ext. 40211 </w:t>
                          </w:r>
                        </w:p>
                        <w:p w:rsidR="00745E07" w:rsidRPr="008D3C77" w:rsidRDefault="00745E07" w:rsidP="00745E07">
                          <w:pPr>
                            <w:rPr>
                              <w:rFonts w:ascii="Encode Sans" w:hAnsi="Encode Sans"/>
                              <w:sz w:val="16"/>
                              <w:szCs w:val="16"/>
                            </w:rPr>
                          </w:pPr>
                        </w:p>
                        <w:p w:rsidR="00745E07" w:rsidRPr="008D3C77" w:rsidRDefault="00745E07" w:rsidP="00745E07">
                          <w:pPr>
                            <w:rPr>
                              <w:rFonts w:ascii="Encode Sans" w:hAnsi="Encode Sa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16310E" id="_x0000_t202" coordsize="21600,21600" o:spt="202" path="m,l,21600r21600,l21600,xe">
              <v:stroke joinstyle="miter"/>
              <v:path gradientshapeok="t" o:connecttype="rect"/>
            </v:shapetype>
            <v:shape id="Cuadro de texto 2" o:spid="_x0000_s1026" type="#_x0000_t202" style="position:absolute;margin-left:0;margin-top:-23.25pt;width:198.9pt;height:3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" filled="f" stroked="f" strokeweight=".5pt">
              <v:textbox>
                <w:txbxContent>
                  <w:p w:rsidR="00745E07" w:rsidRPr="00C227C2" w:rsidRDefault="00745E07" w:rsidP="00745E07">
                    <w:pPr>
                      <w:spacing w:after="0"/>
                      <w:rPr>
                        <w:rFonts w:ascii="Encode Sans" w:hAnsi="Encode Sans"/>
                        <w:sz w:val="16"/>
                        <w:szCs w:val="16"/>
                      </w:rPr>
                    </w:pPr>
                    <w:r>
                      <w:rPr>
                        <w:rFonts w:ascii="Encode Sans" w:hAnsi="Encode Sans"/>
                        <w:sz w:val="16"/>
                        <w:szCs w:val="16"/>
                      </w:rPr>
                      <w:t>15 Y 16 Juárez, s/n, Zona Centro, 87000</w:t>
                    </w:r>
                    <w:r w:rsidRPr="00C227C2">
                      <w:rPr>
                        <w:rFonts w:ascii="Encode Sans" w:hAnsi="Encode Sans"/>
                        <w:sz w:val="16"/>
                        <w:szCs w:val="16"/>
                      </w:rPr>
                      <w:t xml:space="preserve">  </w:t>
                    </w:r>
                  </w:p>
                  <w:p w:rsidR="00745E07" w:rsidRPr="00C227C2" w:rsidRDefault="00745E07" w:rsidP="00745E07">
                    <w:pPr>
                      <w:spacing w:after="0"/>
                      <w:rPr>
                        <w:rFonts w:ascii="Encode Sans" w:hAnsi="Encode Sans"/>
                        <w:sz w:val="16"/>
                        <w:szCs w:val="16"/>
                      </w:rPr>
                    </w:pPr>
                    <w:r>
                      <w:rPr>
                        <w:rFonts w:ascii="Encode Sans" w:hAnsi="Encode Sans"/>
                        <w:sz w:val="16"/>
                        <w:szCs w:val="16"/>
                      </w:rPr>
                      <w:t>Cd. Victoria, Tamaulipas</w:t>
                    </w:r>
                  </w:p>
                  <w:p w:rsidR="00745E07" w:rsidRPr="008D3C77" w:rsidRDefault="00745E07" w:rsidP="00745E07">
                    <w:pPr>
                      <w:spacing w:after="0"/>
                      <w:rPr>
                        <w:rFonts w:ascii="Encode Sans" w:hAnsi="Encode Sans"/>
                        <w:sz w:val="16"/>
                        <w:szCs w:val="16"/>
                      </w:rPr>
                    </w:pPr>
                    <w:r w:rsidRPr="008D3C77">
                      <w:rPr>
                        <w:rFonts w:ascii="Encode Sans" w:hAnsi="Encode Sans"/>
                        <w:sz w:val="16"/>
                        <w:szCs w:val="16"/>
                      </w:rPr>
                      <w:t xml:space="preserve">Tel: (834) 318 82 11 Ext. 40211 </w:t>
                    </w:r>
                  </w:p>
                  <w:p w:rsidR="00745E07" w:rsidRPr="008D3C77" w:rsidRDefault="00745E07" w:rsidP="00745E07">
                    <w:pPr>
                      <w:rPr>
                        <w:rFonts w:ascii="Encode Sans" w:hAnsi="Encode Sans"/>
                        <w:sz w:val="16"/>
                        <w:szCs w:val="16"/>
                      </w:rPr>
                    </w:pPr>
                  </w:p>
                  <w:p w:rsidR="00745E07" w:rsidRPr="008D3C77" w:rsidRDefault="00745E07" w:rsidP="00745E07">
                    <w:pPr>
                      <w:rPr>
                        <w:rFonts w:ascii="Encode Sans" w:hAnsi="Encode Sans"/>
                        <w:sz w:val="16"/>
                        <w:szCs w:val="16"/>
                      </w:rPr>
                    </w:pPr>
                  </w:p>
                </w:txbxContent>
              </v:textbox>
              <w10:wrap anchorx="margin"/>
            </v:shape>
          </w:pict>
        </mc:Fallback>
      </mc:AlternateContent>
    </w:r>
    <w:r w:rsidR="00A5267A">
      <w:rPr>
        <w:noProof/>
        <w:lang w:eastAsia="es-MX"/>
      </w:rPr>
      <w:drawing>
        <wp:anchor distT="0" distB="0" distL="114300" distR="114300" simplePos="0" relativeHeight="251661312" behindDoc="1" locked="0" layoutInCell="1" allowOverlap="1" wp14:anchorId="0972FFD5" wp14:editId="1BCD3FC2">
          <wp:simplePos x="0" y="0"/>
          <wp:positionH relativeFrom="page">
            <wp:align>right</wp:align>
          </wp:positionH>
          <wp:positionV relativeFrom="paragraph">
            <wp:posOffset>-1693628</wp:posOffset>
          </wp:positionV>
          <wp:extent cx="3314700" cy="2305878"/>
          <wp:effectExtent l="0" t="0" r="0" b="0"/>
          <wp:wrapNone/>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1">
                    <a:extLst>
                      <a:ext uri="{28A0092B-C50C-407E-A947-70E740481C1C}">
                        <a14:useLocalDpi xmlns:a14="http://schemas.microsoft.com/office/drawing/2010/main" val="0"/>
                      </a:ext>
                    </a:extLst>
                  </a:blip>
                  <a:srcRect l="57353" t="76988"/>
                  <a:stretch/>
                </pic:blipFill>
                <pic:spPr bwMode="auto">
                  <a:xfrm>
                    <a:off x="0" y="0"/>
                    <a:ext cx="3314700" cy="2305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9A" w:rsidRDefault="00BD499A" w:rsidP="00A5267A">
      <w:pPr>
        <w:spacing w:after="0" w:line="240" w:lineRule="auto"/>
      </w:pPr>
      <w:r>
        <w:separator/>
      </w:r>
    </w:p>
  </w:footnote>
  <w:footnote w:type="continuationSeparator" w:id="0">
    <w:p w:rsidR="00BD499A" w:rsidRDefault="00BD499A" w:rsidP="00A52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67A" w:rsidRDefault="00A5267A">
    <w:pPr>
      <w:pStyle w:val="Encabezado"/>
    </w:pPr>
    <w:r>
      <w:rPr>
        <w:noProof/>
        <w:lang w:eastAsia="es-MX"/>
      </w:rPr>
      <w:drawing>
        <wp:anchor distT="0" distB="0" distL="114300" distR="114300" simplePos="0" relativeHeight="251659264" behindDoc="1" locked="0" layoutInCell="1" allowOverlap="1" wp14:anchorId="019C6064" wp14:editId="672AA070">
          <wp:simplePos x="0" y="0"/>
          <wp:positionH relativeFrom="column">
            <wp:posOffset>-651400</wp:posOffset>
          </wp:positionH>
          <wp:positionV relativeFrom="paragraph">
            <wp:posOffset>-286551</wp:posOffset>
          </wp:positionV>
          <wp:extent cx="3800475" cy="800100"/>
          <wp:effectExtent l="0" t="0" r="9525" b="0"/>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1">
                    <a:extLst>
                      <a:ext uri="{28A0092B-C50C-407E-A947-70E740481C1C}">
                        <a14:useLocalDpi xmlns:a14="http://schemas.microsoft.com/office/drawing/2010/main" val="0"/>
                      </a:ext>
                    </a:extLst>
                  </a:blip>
                  <a:srcRect l="6319" t="5492" r="44240" b="86553"/>
                  <a:stretch/>
                </pic:blipFill>
                <pic:spPr bwMode="auto">
                  <a:xfrm>
                    <a:off x="0" y="0"/>
                    <a:ext cx="3800475"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7A"/>
    <w:rsid w:val="00055D39"/>
    <w:rsid w:val="000F3C0A"/>
    <w:rsid w:val="00104A95"/>
    <w:rsid w:val="0012256B"/>
    <w:rsid w:val="0017674E"/>
    <w:rsid w:val="00191C65"/>
    <w:rsid w:val="00197181"/>
    <w:rsid w:val="001C3208"/>
    <w:rsid w:val="00204F92"/>
    <w:rsid w:val="00233DA1"/>
    <w:rsid w:val="00236655"/>
    <w:rsid w:val="00286A44"/>
    <w:rsid w:val="002937BB"/>
    <w:rsid w:val="002D6B54"/>
    <w:rsid w:val="003D36BC"/>
    <w:rsid w:val="00495E31"/>
    <w:rsid w:val="004B3EB2"/>
    <w:rsid w:val="00561952"/>
    <w:rsid w:val="005A517E"/>
    <w:rsid w:val="00612F94"/>
    <w:rsid w:val="0062768E"/>
    <w:rsid w:val="00670643"/>
    <w:rsid w:val="0070200C"/>
    <w:rsid w:val="00745E07"/>
    <w:rsid w:val="007A4D39"/>
    <w:rsid w:val="007E0B90"/>
    <w:rsid w:val="008061B6"/>
    <w:rsid w:val="008111A6"/>
    <w:rsid w:val="008A3B1D"/>
    <w:rsid w:val="008A5AD2"/>
    <w:rsid w:val="008F1EC8"/>
    <w:rsid w:val="00980405"/>
    <w:rsid w:val="009C53F2"/>
    <w:rsid w:val="00A317C3"/>
    <w:rsid w:val="00A5267A"/>
    <w:rsid w:val="00A93A6A"/>
    <w:rsid w:val="00B03F12"/>
    <w:rsid w:val="00B12D79"/>
    <w:rsid w:val="00B61996"/>
    <w:rsid w:val="00BD325D"/>
    <w:rsid w:val="00BD499A"/>
    <w:rsid w:val="00BE51A3"/>
    <w:rsid w:val="00C456FB"/>
    <w:rsid w:val="00C649E7"/>
    <w:rsid w:val="00CB16EE"/>
    <w:rsid w:val="00D415F6"/>
    <w:rsid w:val="00D80A41"/>
    <w:rsid w:val="00DB61D4"/>
    <w:rsid w:val="00DD531E"/>
    <w:rsid w:val="00E56CC1"/>
    <w:rsid w:val="00E574AE"/>
    <w:rsid w:val="00E90074"/>
    <w:rsid w:val="00EB12E0"/>
    <w:rsid w:val="00EB3250"/>
    <w:rsid w:val="00EB3474"/>
    <w:rsid w:val="00EC545A"/>
    <w:rsid w:val="00EF766C"/>
    <w:rsid w:val="00F0597B"/>
    <w:rsid w:val="00F92C69"/>
    <w:rsid w:val="00FB48AB"/>
    <w:rsid w:val="00FD4443"/>
    <w:rsid w:val="00FE5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656D9D1F-A752-4DE9-B126-E3E7EA9A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26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267A"/>
  </w:style>
  <w:style w:type="paragraph" w:styleId="Piedepgina">
    <w:name w:val="footer"/>
    <w:basedOn w:val="Normal"/>
    <w:link w:val="PiedepginaCar"/>
    <w:uiPriority w:val="99"/>
    <w:unhideWhenUsed/>
    <w:rsid w:val="00A526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267A"/>
  </w:style>
  <w:style w:type="character" w:styleId="Hipervnculo">
    <w:name w:val="Hyperlink"/>
    <w:basedOn w:val="Fuentedeprrafopredeter"/>
    <w:uiPriority w:val="99"/>
    <w:unhideWhenUsed/>
    <w:rsid w:val="00612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3</Pages>
  <Words>699</Words>
  <Characters>3846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Garza Pacheco</dc:creator>
  <cp:keywords/>
  <dc:description/>
  <cp:lastModifiedBy>Alejandra Garza Pacheco</cp:lastModifiedBy>
  <cp:revision>51</cp:revision>
  <dcterms:created xsi:type="dcterms:W3CDTF">2022-10-13T15:38:00Z</dcterms:created>
  <dcterms:modified xsi:type="dcterms:W3CDTF">2023-01-27T18:27:00Z</dcterms:modified>
</cp:coreProperties>
</file>