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7F111B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Ciudad Victoria Tamaulipas, a 27 </w:t>
      </w:r>
      <w:r w:rsidR="00C649E7" w:rsidRPr="00DB61D4">
        <w:rPr>
          <w:rFonts w:cstheme="minorHAnsi"/>
          <w:sz w:val="24"/>
        </w:rPr>
        <w:t xml:space="preserve">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2E4247">
        <w:rPr>
          <w:rFonts w:cstheme="minorHAnsi"/>
          <w:sz w:val="24"/>
        </w:rPr>
        <w:t>día 11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F0718D">
        <w:rPr>
          <w:rFonts w:cstheme="minorHAnsi"/>
          <w:sz w:val="24"/>
        </w:rPr>
        <w:t>0016</w:t>
      </w:r>
      <w:r w:rsidRPr="00DB61D4">
        <w:rPr>
          <w:rFonts w:cstheme="minorHAnsi"/>
          <w:sz w:val="24"/>
        </w:rPr>
        <w:t>, mediante la cual requiere lo siguiente:</w:t>
      </w:r>
    </w:p>
    <w:p w:rsidR="001C3208" w:rsidRPr="00DB61D4" w:rsidRDefault="00F92C69" w:rsidP="002E4247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2E4247" w:rsidRPr="002E4247">
        <w:rPr>
          <w:rFonts w:cstheme="minorHAnsi"/>
          <w:i/>
          <w:sz w:val="24"/>
        </w:rPr>
        <w:t>Solicito la versión pública de los convenios de coordinación y/o convenios de colaboración celebrados entre esta i</w:t>
      </w:r>
      <w:r w:rsidR="002A65CE">
        <w:rPr>
          <w:rFonts w:cstheme="minorHAnsi"/>
          <w:i/>
          <w:sz w:val="24"/>
        </w:rPr>
        <w:t xml:space="preserve">nstitución y la </w:t>
      </w:r>
      <w:r w:rsidR="00F0718D">
        <w:rPr>
          <w:rFonts w:cstheme="minorHAnsi"/>
          <w:i/>
          <w:sz w:val="24"/>
        </w:rPr>
        <w:t>Secretaría de Marina</w:t>
      </w:r>
      <w:r w:rsidR="002E4247" w:rsidRPr="002E4247">
        <w:rPr>
          <w:rFonts w:cstheme="minorHAnsi"/>
          <w:i/>
          <w:sz w:val="24"/>
        </w:rPr>
        <w:t>, desde el año 2</w:t>
      </w:r>
      <w:r w:rsidR="002A65CE">
        <w:rPr>
          <w:rFonts w:cstheme="minorHAnsi"/>
          <w:i/>
          <w:sz w:val="24"/>
        </w:rPr>
        <w:t>006</w:t>
      </w:r>
      <w:r w:rsidR="002E4247" w:rsidRPr="002E4247">
        <w:rPr>
          <w:rFonts w:cstheme="minorHAnsi"/>
          <w:i/>
          <w:sz w:val="24"/>
        </w:rPr>
        <w:t xml:space="preserve"> hasta la fecha de presentación de esta solicitud.</w:t>
      </w:r>
      <w:r w:rsidR="00286A44" w:rsidRPr="00DB61D4">
        <w:rPr>
          <w:rFonts w:cstheme="minorHAnsi"/>
          <w:i/>
          <w:sz w:val="24"/>
        </w:rPr>
        <w:t>”</w:t>
      </w:r>
    </w:p>
    <w:p w:rsidR="003D36BC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 w:rsidR="008D437A">
        <w:rPr>
          <w:rFonts w:cstheme="minorHAnsi"/>
          <w:sz w:val="24"/>
        </w:rPr>
        <w:t xml:space="preserve"> que, la información </w:t>
      </w:r>
      <w:r w:rsidR="005D13E2">
        <w:rPr>
          <w:rFonts w:cstheme="minorHAnsi"/>
          <w:sz w:val="24"/>
        </w:rPr>
        <w:t xml:space="preserve">puede ser consultada </w:t>
      </w:r>
      <w:r w:rsidR="008D437A">
        <w:rPr>
          <w:rFonts w:cstheme="minorHAnsi"/>
          <w:sz w:val="24"/>
        </w:rPr>
        <w:t>en el Periódico Oficial en el siguiente link:</w:t>
      </w:r>
    </w:p>
    <w:p w:rsidR="002E4247" w:rsidRDefault="00422E8E" w:rsidP="00DB61D4">
      <w:pPr>
        <w:ind w:firstLine="708"/>
        <w:jc w:val="both"/>
      </w:pPr>
      <w:hyperlink r:id="rId6" w:history="1">
        <w:r w:rsidR="002E4247" w:rsidRPr="00AD1D6C">
          <w:rPr>
            <w:rStyle w:val="Hipervnculo"/>
          </w:rPr>
          <w:t>https://transparencia.tamaulipas.gob.mx/prontuario/federal/convenios/</w:t>
        </w:r>
      </w:hyperlink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  <w:bookmarkStart w:id="0" w:name="_GoBack"/>
      <w:bookmarkEnd w:id="0"/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A65CE"/>
    <w:rsid w:val="002D6B54"/>
    <w:rsid w:val="002E4247"/>
    <w:rsid w:val="00320A9C"/>
    <w:rsid w:val="003235A0"/>
    <w:rsid w:val="003D36BC"/>
    <w:rsid w:val="00422E8E"/>
    <w:rsid w:val="00426400"/>
    <w:rsid w:val="00495E31"/>
    <w:rsid w:val="004B3EB2"/>
    <w:rsid w:val="00561952"/>
    <w:rsid w:val="005A517E"/>
    <w:rsid w:val="005D13E2"/>
    <w:rsid w:val="00612F94"/>
    <w:rsid w:val="0061337C"/>
    <w:rsid w:val="00670643"/>
    <w:rsid w:val="0070200C"/>
    <w:rsid w:val="00745E07"/>
    <w:rsid w:val="007A4D39"/>
    <w:rsid w:val="007E0B90"/>
    <w:rsid w:val="007F111B"/>
    <w:rsid w:val="008061B6"/>
    <w:rsid w:val="008111A6"/>
    <w:rsid w:val="0082265C"/>
    <w:rsid w:val="00871102"/>
    <w:rsid w:val="008A3B1D"/>
    <w:rsid w:val="008A5AD2"/>
    <w:rsid w:val="008D437A"/>
    <w:rsid w:val="00980405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25A2"/>
    <w:rsid w:val="00DD531E"/>
    <w:rsid w:val="00E56CC1"/>
    <w:rsid w:val="00E574AE"/>
    <w:rsid w:val="00E90074"/>
    <w:rsid w:val="00EA5329"/>
    <w:rsid w:val="00EB12E0"/>
    <w:rsid w:val="00EB3250"/>
    <w:rsid w:val="00EB3474"/>
    <w:rsid w:val="00EC545A"/>
    <w:rsid w:val="00EF766C"/>
    <w:rsid w:val="00F01DF7"/>
    <w:rsid w:val="00F0597B"/>
    <w:rsid w:val="00F0718D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tamaulipas.gob.mx/prontuario/federal/convenio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65</cp:revision>
  <dcterms:created xsi:type="dcterms:W3CDTF">2022-10-13T15:38:00Z</dcterms:created>
  <dcterms:modified xsi:type="dcterms:W3CDTF">2023-01-27T19:55:00Z</dcterms:modified>
</cp:coreProperties>
</file>